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附件3</w:t>
      </w:r>
    </w:p>
    <w:p>
      <w:pPr>
        <w:pStyle w:val="2"/>
        <w:spacing w:before="0" w:beforeAutospacing="0" w:after="0" w:afterAutospacing="0" w:line="600" w:lineRule="exact"/>
        <w:rPr>
          <w:rFonts w:ascii="宋体" w:hAnsi="宋体" w:eastAsia="宋体"/>
          <w:color w:val="auto"/>
          <w:sz w:val="44"/>
          <w:szCs w:val="44"/>
        </w:rPr>
      </w:pPr>
    </w:p>
    <w:p>
      <w:pPr>
        <w:spacing w:line="600" w:lineRule="exact"/>
        <w:jc w:val="center"/>
        <w:outlineLvl w:val="1"/>
        <w:rPr>
          <w:rFonts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auto"/>
          <w:sz w:val="40"/>
          <w:szCs w:val="40"/>
        </w:rPr>
        <w:t>2021-2022年湖南省重点研发计划项目指南</w:t>
      </w:r>
    </w:p>
    <w:p>
      <w:pPr>
        <w:spacing w:line="600" w:lineRule="exact"/>
        <w:jc w:val="center"/>
        <w:outlineLvl w:val="1"/>
        <w:rPr>
          <w:rFonts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（社会发展科技领域）</w:t>
      </w:r>
    </w:p>
    <w:p>
      <w:pPr>
        <w:pStyle w:val="15"/>
        <w:spacing w:line="600" w:lineRule="exact"/>
        <w:rPr>
          <w:rFonts w:ascii="Times New Roman" w:hAnsi="Times New Roman" w:cs="Times New Roman"/>
          <w:color w:val="auto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一、人口健康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 xml:space="preserve">1. 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高端医疗器械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1.1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手术机器人研发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1.2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智能体外诊断设备与检测试剂研究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1.3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植入式器械与材料临床应用技术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1.4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皮肤生物支架材料研发及临床应用研究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 xml:space="preserve">2. 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中医药现代化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2.1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中医药外用治疗癌痛研究及临床推广应用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2.2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心脑血管疾病中医药防治应用研究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2.3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退行性膝骨关节病中医药诊疗传承与创新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2.4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精神分裂症中医诊疗研究与临床应用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2.5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山银花种植与产品加工品质提升研究与示范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2.6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黄精种植与产品加工品质提升研究与示范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2.7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杜仲种植与产品加工品质提升研究与示范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Times New Roman" w:hAnsi="Times New Roman" w:eastAsia="方正楷体简体" w:cs="Times New Roman"/>
          <w:bCs w:val="0"/>
          <w:color w:val="auto"/>
        </w:rPr>
      </w:pPr>
      <w:r>
        <w:rPr>
          <w:rFonts w:ascii="Times New Roman" w:hAnsi="Times New Roman" w:eastAsia="方正楷体简体" w:cs="Times New Roman"/>
          <w:bCs w:val="0"/>
          <w:color w:val="auto"/>
        </w:rPr>
        <w:t xml:space="preserve">3. </w:t>
      </w:r>
      <w:r>
        <w:rPr>
          <w:rFonts w:hint="eastAsia" w:ascii="Times New Roman" w:hAnsi="Times New Roman" w:eastAsia="方正楷体简体" w:cs="Times New Roman"/>
          <w:bCs w:val="0"/>
          <w:color w:val="auto"/>
        </w:rPr>
        <w:t>肿瘤和慢病防治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3.1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肺结节识别与肺癌防治技术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3.2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前列腺癌及泌尿系统疾病防治技术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3.3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关节退变与损伤防治新技术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3.4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胃肠间质瘤的精准治疗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3.5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胸部肿瘤防治新技术与临床应用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3.6结直肠癌防治技术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3.7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高血压等慢病家庭健康监测关键技术研发及应用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3.8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肠道微生物在代谢相关脂肪性肝病的临床应用研究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Times New Roman" w:hAnsi="Times New Roman" w:eastAsia="方正楷体简体" w:cs="Times New Roman"/>
          <w:bCs w:val="0"/>
          <w:color w:val="auto"/>
        </w:rPr>
      </w:pPr>
      <w:r>
        <w:rPr>
          <w:rFonts w:ascii="Times New Roman" w:hAnsi="Times New Roman" w:eastAsia="方正楷体简体" w:cs="Times New Roman"/>
          <w:bCs w:val="0"/>
          <w:color w:val="auto"/>
        </w:rPr>
        <w:t xml:space="preserve">4. </w:t>
      </w:r>
      <w:r>
        <w:rPr>
          <w:rFonts w:hint="eastAsia" w:ascii="Times New Roman" w:hAnsi="Times New Roman" w:eastAsia="方正楷体简体" w:cs="Times New Roman"/>
          <w:bCs w:val="0"/>
          <w:color w:val="auto"/>
        </w:rPr>
        <w:t>妇儿及老年人疾病防治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4.1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AI技术在宫腔镜术中的应用与创新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4.2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基于人工智能的乳腺癌预防与治疗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4.3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危重症儿童营养代谢相关研究与临床应用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4.4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老年围术期智能风险评估及应用示范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4.5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儿童意识障碍康复关键技术研究及接续治疗体系建设</w:t>
      </w:r>
    </w:p>
    <w:p>
      <w:pPr>
        <w:tabs>
          <w:tab w:val="left" w:pos="2990"/>
        </w:tabs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4.6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血管通道安全性提升关键技术研究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4.7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auto"/>
          <w:sz w:val="32"/>
          <w:szCs w:val="32"/>
        </w:rPr>
        <w:t>危重症早期预警和快速反应体系的构建与临床应用</w:t>
      </w:r>
    </w:p>
    <w:p>
      <w:pPr>
        <w:pStyle w:val="4"/>
        <w:keepNext w:val="0"/>
        <w:keepLines w:val="0"/>
        <w:numPr>
          <w:ilvl w:val="0"/>
          <w:numId w:val="1"/>
        </w:numPr>
        <w:spacing w:line="600" w:lineRule="exact"/>
        <w:ind w:firstLine="640"/>
        <w:contextualSpacing/>
        <w:rPr>
          <w:rFonts w:ascii="Times New Roman" w:hAnsi="Times New Roman" w:eastAsia="方正楷体简体" w:cs="Times New Roman"/>
          <w:bCs w:val="0"/>
          <w:color w:val="auto"/>
        </w:rPr>
      </w:pPr>
      <w:r>
        <w:rPr>
          <w:rFonts w:hint="eastAsia" w:ascii="Times New Roman" w:hAnsi="Times New Roman" w:eastAsia="方正楷体简体" w:cs="Times New Roman"/>
          <w:bCs w:val="0"/>
          <w:color w:val="auto"/>
        </w:rPr>
        <w:t xml:space="preserve"> 抑郁症防治 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仿宋_GB2312" w:hAnsi="仿宋_GB2312" w:eastAsia="仿宋_GB2312" w:cs="仿宋_GB2312"/>
          <w:b w:val="0"/>
          <w:bCs w:val="0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5.1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抑郁症院外智能化综合干预技术研发与示范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5.2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围产期抑郁症防治临床研究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方正楷体简体"/>
          <w:b/>
          <w:color w:val="auto"/>
          <w:sz w:val="32"/>
          <w:szCs w:val="32"/>
        </w:rPr>
      </w:pPr>
      <w:r>
        <w:rPr>
          <w:rFonts w:ascii="Times New Roman" w:hAnsi="Times New Roman" w:eastAsia="方正楷体简体"/>
          <w:b/>
          <w:color w:val="auto"/>
          <w:sz w:val="32"/>
          <w:szCs w:val="32"/>
        </w:rPr>
        <w:t xml:space="preserve">6 . </w:t>
      </w:r>
      <w:r>
        <w:rPr>
          <w:rFonts w:hint="eastAsia" w:ascii="Times New Roman" w:hAnsi="Times New Roman" w:eastAsia="方正楷体简体"/>
          <w:b/>
          <w:color w:val="auto"/>
          <w:sz w:val="32"/>
          <w:szCs w:val="32"/>
        </w:rPr>
        <w:t>感染性疾病防治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6.1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艾滋病防治技术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6.2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呼吸道感染疾病防治技术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6.3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 流行病爆发主动预防智能系统技术</w:t>
      </w:r>
    </w:p>
    <w:p>
      <w:pPr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6.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 xml:space="preserve">4 </w:t>
      </w:r>
      <w:r>
        <w:rPr>
          <w:rFonts w:ascii="Times New Roman" w:hAnsi="Times New Roman" w:eastAsia="仿宋_GB2312"/>
          <w:color w:val="auto"/>
          <w:sz w:val="32"/>
          <w:szCs w:val="32"/>
        </w:rPr>
        <w:t>院感防控关键技术研究和体系建设及临床应用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方正楷体简体"/>
          <w:b/>
          <w:color w:val="auto"/>
          <w:sz w:val="32"/>
          <w:szCs w:val="32"/>
        </w:rPr>
      </w:pPr>
      <w:r>
        <w:rPr>
          <w:rFonts w:ascii="Times New Roman" w:hAnsi="Times New Roman" w:eastAsia="方正楷体简体"/>
          <w:b/>
          <w:color w:val="auto"/>
          <w:sz w:val="32"/>
          <w:szCs w:val="32"/>
        </w:rPr>
        <w:t>7.</w:t>
      </w:r>
      <w:r>
        <w:rPr>
          <w:rFonts w:hint="eastAsia" w:ascii="Times New Roman" w:hAnsi="Times New Roman" w:eastAsia="方正楷体简体"/>
          <w:b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方正楷体简体"/>
          <w:b/>
          <w:color w:val="auto"/>
          <w:sz w:val="32"/>
          <w:szCs w:val="32"/>
        </w:rPr>
        <w:t>五官疾病防治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仿宋_GB2312" w:hAnsi="仿宋_GB2312" w:eastAsia="仿宋_GB2312" w:cs="仿宋_GB2312"/>
          <w:b w:val="0"/>
          <w:bCs w:val="0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7.1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环境污染对眼表损伤的研究和治疗</w:t>
      </w:r>
    </w:p>
    <w:p>
      <w:pPr>
        <w:spacing w:line="600" w:lineRule="exact"/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7</w:t>
      </w:r>
      <w:r>
        <w:rPr>
          <w:rFonts w:ascii="Times New Roman" w:hAnsi="Times New Roman" w:eastAsia="仿宋_GB2312"/>
          <w:color w:val="auto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2</w:t>
      </w:r>
      <w:r>
        <w:rPr>
          <w:rFonts w:ascii="Times New Roman" w:hAnsi="Times New Roman" w:eastAsia="仿宋_GB2312"/>
          <w:color w:val="auto"/>
          <w:sz w:val="32"/>
          <w:szCs w:val="32"/>
        </w:rPr>
        <w:t xml:space="preserve"> 口腔重大疾病防治关键技术研发及临床应用</w:t>
      </w:r>
    </w:p>
    <w:p>
      <w:pPr>
        <w:pStyle w:val="2"/>
        <w:spacing w:before="0" w:beforeAutospacing="0" w:after="0" w:afterAutospacing="0" w:line="600" w:lineRule="exact"/>
        <w:ind w:firstLine="640" w:firstLineChars="200"/>
        <w:rPr>
          <w:color w:val="auto"/>
        </w:rPr>
      </w:pPr>
      <w:r>
        <w:rPr>
          <w:rFonts w:hint="eastAsia" w:ascii="Times New Roman" w:hAnsi="Times New Roman" w:eastAsia="仿宋_GB2312" w:cstheme="minorBidi"/>
          <w:b w:val="0"/>
          <w:color w:val="auto"/>
          <w:kern w:val="2"/>
          <w:sz w:val="32"/>
          <w:szCs w:val="32"/>
        </w:rPr>
        <w:t>7.3 耳鼻喉疾病防治技术</w:t>
      </w:r>
    </w:p>
    <w:p>
      <w:pPr>
        <w:pStyle w:val="4"/>
        <w:keepNext w:val="0"/>
        <w:numPr>
          <w:ilvl w:val="255"/>
          <w:numId w:val="0"/>
        </w:numPr>
        <w:spacing w:line="600" w:lineRule="exact"/>
        <w:ind w:firstLine="643" w:firstLineChars="200"/>
        <w:contextualSpacing/>
        <w:rPr>
          <w:rFonts w:ascii="Times New Roman" w:hAnsi="Times New Roman" w:eastAsia="方正楷体简体" w:cs="Times New Roman"/>
          <w:bCs w:val="0"/>
          <w:color w:val="auto"/>
        </w:rPr>
      </w:pPr>
      <w:r>
        <w:rPr>
          <w:rFonts w:ascii="Times New Roman" w:hAnsi="Times New Roman" w:eastAsia="方正楷体简体" w:cs="Times New Roman"/>
          <w:bCs w:val="0"/>
          <w:color w:val="auto"/>
        </w:rPr>
        <w:t>8.</w:t>
      </w:r>
      <w:r>
        <w:rPr>
          <w:rFonts w:hint="eastAsia" w:ascii="Times New Roman" w:hAnsi="Times New Roman" w:eastAsia="方正楷体简体" w:cs="Times New Roman"/>
          <w:bCs w:val="0"/>
          <w:color w:val="auto"/>
        </w:rPr>
        <w:t xml:space="preserve"> 影像诊疗新技术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仿宋_GB2312" w:hAnsi="仿宋_GB2312" w:eastAsia="仿宋_GB2312" w:cs="仿宋_GB2312"/>
          <w:b w:val="0"/>
          <w:bCs w:val="0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8.1 </w:t>
      </w:r>
      <w:r>
        <w:rPr>
          <w:rFonts w:ascii="仿宋_GB2312" w:hAnsi="仿宋_GB2312" w:eastAsia="仿宋_GB2312" w:cs="仿宋_GB2312"/>
          <w:b w:val="0"/>
          <w:bCs w:val="0"/>
          <w:color w:val="auto"/>
        </w:rPr>
        <w:t>AI技术在区域影像网络建设和图像质量控制的应用研究与示范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仿宋_GB2312" w:hAnsi="仿宋_GB2312" w:eastAsia="仿宋_GB2312" w:cs="仿宋_GB2312"/>
          <w:b w:val="0"/>
          <w:bCs w:val="0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8.2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基于新冠肺炎重大公共卫生事件医学影像智能体系构建</w:t>
      </w:r>
    </w:p>
    <w:p>
      <w:pPr>
        <w:pStyle w:val="4"/>
        <w:keepNext w:val="0"/>
        <w:keepLines w:val="0"/>
        <w:spacing w:line="600" w:lineRule="exact"/>
        <w:ind w:firstLine="518" w:firstLineChars="162"/>
        <w:contextualSpacing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 8.3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基于分子影像下的恶性肿瘤早期诊疗技术</w:t>
      </w:r>
    </w:p>
    <w:p>
      <w:pPr>
        <w:pStyle w:val="4"/>
        <w:keepNext w:val="0"/>
        <w:numPr>
          <w:ilvl w:val="255"/>
          <w:numId w:val="0"/>
        </w:numPr>
        <w:tabs>
          <w:tab w:val="left" w:pos="0"/>
        </w:tabs>
        <w:spacing w:line="600" w:lineRule="exact"/>
        <w:ind w:firstLine="643" w:firstLineChars="200"/>
        <w:contextualSpacing/>
        <w:rPr>
          <w:rFonts w:ascii="Times New Roman" w:hAnsi="Times New Roman" w:eastAsia="方正楷体简体" w:cs="Times New Roman"/>
          <w:color w:val="auto"/>
        </w:rPr>
      </w:pPr>
      <w:r>
        <w:rPr>
          <w:rFonts w:hint="eastAsia" w:ascii="Times New Roman" w:hAnsi="Times New Roman" w:eastAsia="方正楷体简体" w:cs="Times New Roman"/>
          <w:color w:val="auto"/>
        </w:rPr>
        <w:t>9. 生物与新药创制</w:t>
      </w:r>
    </w:p>
    <w:p>
      <w:pPr>
        <w:spacing w:line="600" w:lineRule="exact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黑体"/>
          <w:b/>
          <w:bCs/>
          <w:color w:val="auto"/>
        </w:rPr>
        <w:t xml:space="preserve">    </w:t>
      </w:r>
      <w:r>
        <w:rPr>
          <w:rFonts w:ascii="Times New Roman" w:hAnsi="Times New Roman" w:eastAsia="仿宋_GB2312"/>
          <w:color w:val="auto"/>
          <w:sz w:val="32"/>
          <w:szCs w:val="32"/>
        </w:rPr>
        <w:t xml:space="preserve"> 9.1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肝癌靶向生物大分子药物关键技术应用研究</w:t>
      </w:r>
    </w:p>
    <w:p>
      <w:pPr>
        <w:pStyle w:val="4"/>
        <w:keepNext w:val="0"/>
        <w:keepLines w:val="0"/>
        <w:spacing w:line="600" w:lineRule="exact"/>
        <w:ind w:firstLine="640"/>
        <w:contextualSpacing/>
        <w:rPr>
          <w:rFonts w:ascii="Times New Roman" w:hAnsi="Times New Roman" w:cs="Times New Roman"/>
          <w:b w:val="0"/>
          <w:bCs w:val="0"/>
          <w:color w:val="auto"/>
        </w:rPr>
      </w:pPr>
      <w:r>
        <w:rPr>
          <w:rFonts w:ascii="Times New Roman" w:hAnsi="Times New Roman" w:cs="Times New Roman"/>
          <w:b w:val="0"/>
          <w:bCs w:val="0"/>
          <w:color w:val="auto"/>
        </w:rPr>
        <w:t xml:space="preserve">9.2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</w:rPr>
        <w:t>慢性阻塞性肺疾病药物关键技术应用研究</w:t>
      </w:r>
    </w:p>
    <w:p>
      <w:pPr>
        <w:spacing w:line="600" w:lineRule="exact"/>
        <w:ind w:firstLine="63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9.3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生物多肽药物关键技术应用研究</w:t>
      </w:r>
    </w:p>
    <w:p>
      <w:pPr>
        <w:spacing w:line="600" w:lineRule="exact"/>
        <w:ind w:firstLine="63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9.4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脓毒症治疗创新药物研发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9.5 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胃癌等恶性肿瘤治疗药物研发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二、环境治理和资源利用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10.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大气污染防治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高氟高氯工业烟气长效化、智能化治理技术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含汞废气污染防治关键技术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10.3</w:t>
      </w:r>
      <w:r>
        <w:rPr>
          <w:rFonts w:ascii="Times New Roman" w:hAnsi="Times New Roman" w:eastAsia="仿宋_GB2312" w:cs="Times New Roman"/>
          <w:color w:val="auto"/>
          <w:sz w:val="84"/>
          <w:szCs w:val="84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CO低温脱除技术和装备研发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10.4</w:t>
      </w:r>
      <w:r>
        <w:rPr>
          <w:rFonts w:ascii="Times New Roman" w:hAnsi="Times New Roman" w:eastAsia="仿宋_GB2312" w:cs="Times New Roman"/>
          <w:color w:val="auto"/>
          <w:sz w:val="84"/>
          <w:szCs w:val="84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PM2.5与臭氧复合污染协同控制技术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>11.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 xml:space="preserve"> 水污染防治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医疗、养殖污水抗生素处理技术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工业园区废水深度处理技术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多金属矿采选废水处理与回用技术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12.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土壤、重金属及放射性污染防治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重金属矿山原位基质生态修复技术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产粮区镉污染监测与风险评估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铀尾矿库安全处置关键技术和装备研究与示范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冶炼含砷、铍、铊、铬废渣安全处置与资源化利用技术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13.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资源高效利用和清洁生产及节能环保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生物可降解材料规模化、连续化生产关键技术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脱硫石膏改性提质关键技术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有色金属绿色高效采选一体化处理关键技术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矿山尾矿资源综合利用关键技术研究与示范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建筑垃圾资源化利用技术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建筑节能关键技术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13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.7 社区垃圾源头智能分类与清洁收集技术及装备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>14.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 xml:space="preserve"> 洞庭湖生态治理和资源利用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洞庭湖生态修复和综合治理技术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芦苇资源高值化利用关键技术研究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三、公共安全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15.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安全生产和应急技术及装备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矿山安全应急技术和装备研究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消防应急和特种设备安全技术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危化品治理与安全生产技术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基于区块链的重大公共安全风险防控技术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极端气候条件下灾害预警和应急关键技术</w:t>
      </w:r>
    </w:p>
    <w:p>
      <w:pPr>
        <w:tabs>
          <w:tab w:val="left" w:pos="2990"/>
        </w:tabs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洪涝与地质灾害防治技术和装备研究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16.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食品安全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16.1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食品中黄曲霉毒素与微生物污染防控技术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16.2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食品重金属与农残快速检测技术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四、文旅健身和社会治理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17.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湖南文物与非遗保护技术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17.1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地方性非物质文化遗产保护与文旅融合创新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17.2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文物保护技术和装备研发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.3基于传统中医的“医、养、游”产业融合发展关键技术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18.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全民健身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18.1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全民健身运动风险评估关键技术</w:t>
      </w:r>
    </w:p>
    <w:p>
      <w:pPr>
        <w:tabs>
          <w:tab w:val="left" w:pos="2990"/>
        </w:tabs>
        <w:spacing w:line="600" w:lineRule="exact"/>
        <w:ind w:firstLine="643" w:firstLineChars="200"/>
        <w:rPr>
          <w:rFonts w:ascii="Times New Roman" w:hAnsi="Times New Roman" w:eastAsia="楷体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auto"/>
          <w:sz w:val="32"/>
          <w:szCs w:val="32"/>
        </w:rPr>
        <w:t xml:space="preserve">19. </w:t>
      </w:r>
      <w:r>
        <w:rPr>
          <w:rFonts w:hint="eastAsia" w:ascii="Times New Roman" w:hAnsi="Times New Roman" w:eastAsia="楷体_GB2312" w:cs="Times New Roman"/>
          <w:b/>
          <w:color w:val="auto"/>
          <w:sz w:val="32"/>
          <w:szCs w:val="32"/>
        </w:rPr>
        <w:t>政法科技创新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社会治理创新智能开放服务技术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智慧法院业务协同与知识支撑体系技术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智能化公共法律服务关键技术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智慧检务智能辅助办案关键技术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智慧警务核心业务运行关键技术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网络安全应急处置关键技术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19.7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政法系统业务协同关键技术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五、实验动物</w:t>
      </w:r>
    </w:p>
    <w:p>
      <w:pPr>
        <w:numPr>
          <w:ilvl w:val="255"/>
          <w:numId w:val="0"/>
        </w:num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20.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动物模型</w:t>
      </w:r>
    </w:p>
    <w:p>
      <w:pPr>
        <w:numPr>
          <w:ilvl w:val="255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20.1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肠道肿瘤、口腔癌、鼻咽癌、自发性卵巢癌、自闭症动物模型的建立及应用</w:t>
      </w:r>
    </w:p>
    <w:p>
      <w:pPr>
        <w:numPr>
          <w:ilvl w:val="255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20.2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非人灵长类脊髓移植动物模型的建立及应用</w:t>
      </w:r>
    </w:p>
    <w:p>
      <w:pPr>
        <w:numPr>
          <w:ilvl w:val="255"/>
          <w:numId w:val="0"/>
        </w:num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21.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动物器官异种移植</w:t>
      </w:r>
    </w:p>
    <w:p>
      <w:pPr>
        <w:numPr>
          <w:ilvl w:val="255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21.1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转基因供体猪异种肝移植技术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六、其他</w:t>
      </w:r>
    </w:p>
    <w:p>
      <w:pPr>
        <w:adjustRightInd w:val="0"/>
        <w:snapToGrid w:val="0"/>
        <w:ind w:firstLine="643" w:firstLineChars="200"/>
        <w:rPr>
          <w:rFonts w:ascii="Times New Roman" w:hAnsi="Times New Roman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1361" w:right="1029" w:bottom="1361" w:left="1417" w:header="851" w:footer="992" w:gutter="0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以上指南未提及，但属于“卡脖子”重大关键核心技术、前沿颠覆性技术的研发可列入申报范围。</w:t>
      </w:r>
      <w:bookmarkStart w:id="0" w:name="_GoBack"/>
      <w:bookmarkEnd w:id="0"/>
    </w:p>
    <w:p>
      <w:pPr>
        <w:pStyle w:val="15"/>
        <w:spacing w:line="60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DC7B5-2405-4C9A-A0E0-3476AFE5F64E}">
  <ds:schemaRefs/>
</ds:datastoreItem>
</file>